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F0" w:rsidRDefault="007A1BF0" w:rsidP="003D4692">
      <w:pPr>
        <w:pStyle w:val="ARCHeading1"/>
        <w:rPr>
          <w:sz w:val="36"/>
        </w:rPr>
      </w:pPr>
    </w:p>
    <w:p w:rsidR="007A1BF0" w:rsidRDefault="007A1BF0" w:rsidP="003D4692">
      <w:pPr>
        <w:pStyle w:val="ARCHeading1"/>
        <w:rPr>
          <w:sz w:val="36"/>
        </w:rPr>
      </w:pPr>
    </w:p>
    <w:p w:rsidR="003D4692" w:rsidRPr="003859D1" w:rsidRDefault="007612BF" w:rsidP="003D4692">
      <w:pPr>
        <w:pStyle w:val="ARCHeading1"/>
        <w:rPr>
          <w:sz w:val="36"/>
        </w:rPr>
      </w:pPr>
      <w:r>
        <w:rPr>
          <w:sz w:val="36"/>
        </w:rPr>
        <w:t>Student</w:t>
      </w:r>
      <w:r w:rsidR="00FB5BBA">
        <w:rPr>
          <w:sz w:val="36"/>
        </w:rPr>
        <w:t xml:space="preserve"> Behaviour and Disciplinary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6B7BF5" w:rsidRDefault="007C5AD4" w:rsidP="006B7BF5">
      <w:pPr>
        <w:rPr>
          <w:rFonts w:ascii="Open Sans" w:hAnsi="Open Sans" w:cs="Open Sans"/>
          <w:b/>
          <w:sz w:val="24"/>
        </w:rPr>
      </w:pPr>
      <w:r w:rsidRPr="006B7BF5">
        <w:rPr>
          <w:rFonts w:ascii="Open Sans" w:hAnsi="Open Sans" w:cs="Open Sans"/>
          <w:b/>
          <w:sz w:val="24"/>
        </w:rPr>
        <w:t>Purpose</w:t>
      </w:r>
    </w:p>
    <w:p w:rsidR="00FB5BBA" w:rsidRPr="00FB5BBA" w:rsidRDefault="00FB5BBA" w:rsidP="00FB5BBA">
      <w:pPr>
        <w:rPr>
          <w:rFonts w:ascii="Open Sans" w:hAnsi="Open Sans" w:cs="Open Sans"/>
          <w:sz w:val="24"/>
        </w:rPr>
      </w:pPr>
      <w:r w:rsidRPr="006B7BF5">
        <w:rPr>
          <w:rFonts w:ascii="Open Sans" w:hAnsi="Open Sans" w:cs="Open Sans"/>
        </w:rPr>
        <w:t>This policy outlines the expected standard of behaviour for all</w:t>
      </w:r>
      <w:r w:rsidR="009E7CA2">
        <w:rPr>
          <w:rFonts w:ascii="Open Sans" w:hAnsi="Open Sans" w:cs="Open Sans"/>
        </w:rPr>
        <w:t xml:space="preserve"> </w:t>
      </w:r>
      <w:r w:rsidR="00186C1A">
        <w:rPr>
          <w:rFonts w:ascii="Open Sans" w:hAnsi="Open Sans" w:cs="Open Sans"/>
        </w:rPr>
        <w:t>students</w:t>
      </w:r>
      <w:r w:rsidR="00F5049F" w:rsidRPr="006B7BF5">
        <w:rPr>
          <w:rFonts w:ascii="Open Sans" w:hAnsi="Open Sans" w:cs="Open Sans"/>
        </w:rPr>
        <w:t xml:space="preserve"> enrolled at </w:t>
      </w:r>
      <w:r w:rsidR="00186C1A">
        <w:rPr>
          <w:rFonts w:ascii="Open Sans" w:hAnsi="Open Sans" w:cs="Open Sans"/>
        </w:rPr>
        <w:t>ARC Training</w:t>
      </w:r>
      <w:r w:rsidR="009E7CA2">
        <w:rPr>
          <w:rFonts w:ascii="Open Sans" w:hAnsi="Open Sans" w:cs="Open Sans"/>
        </w:rPr>
        <w:t xml:space="preserve"> </w:t>
      </w:r>
      <w:r w:rsidR="00F5049F" w:rsidRPr="006B7BF5">
        <w:rPr>
          <w:rFonts w:ascii="Open Sans" w:hAnsi="Open Sans" w:cs="Open Sans"/>
        </w:rPr>
        <w:t>and the procedure to be followed by personnel in addressing cases of misconduct</w:t>
      </w:r>
      <w:r w:rsidR="00F5049F">
        <w:rPr>
          <w:rFonts w:ascii="Open Sans" w:hAnsi="Open Sans" w:cs="Open Sans"/>
          <w:sz w:val="24"/>
        </w:rPr>
        <w:t>.</w:t>
      </w:r>
    </w:p>
    <w:p w:rsidR="007C5AD4" w:rsidRPr="006B7BF5" w:rsidRDefault="007C5AD4" w:rsidP="006B7BF5">
      <w:pPr>
        <w:rPr>
          <w:rFonts w:ascii="Open Sans" w:hAnsi="Open Sans" w:cs="Open Sans"/>
          <w:b/>
          <w:sz w:val="24"/>
        </w:rPr>
      </w:pPr>
      <w:r w:rsidRPr="006B7BF5">
        <w:rPr>
          <w:rFonts w:ascii="Open Sans" w:hAnsi="Open Sans" w:cs="Open Sans"/>
          <w:b/>
          <w:sz w:val="24"/>
        </w:rPr>
        <w:t>Scope</w:t>
      </w:r>
    </w:p>
    <w:p w:rsidR="007C5AD4" w:rsidRPr="007C5AD4" w:rsidRDefault="008C601F" w:rsidP="007C5AD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policy applies to all</w:t>
      </w:r>
      <w:r w:rsidR="009E7CA2">
        <w:rPr>
          <w:rFonts w:ascii="Open Sans" w:hAnsi="Open Sans" w:cs="Open Sans"/>
        </w:rPr>
        <w:t xml:space="preserve"> </w:t>
      </w:r>
      <w:r w:rsidR="00186C1A">
        <w:rPr>
          <w:rFonts w:ascii="Open Sans" w:hAnsi="Open Sans" w:cs="Open Sans"/>
        </w:rPr>
        <w:t>students</w:t>
      </w:r>
      <w:r w:rsidR="00F5049F">
        <w:rPr>
          <w:rFonts w:ascii="Open Sans" w:hAnsi="Open Sans" w:cs="Open Sans"/>
        </w:rPr>
        <w:t xml:space="preserve"> enrolled with ARC training. It also applies to all management and staff of </w:t>
      </w:r>
      <w:r w:rsidR="00186C1A">
        <w:rPr>
          <w:rFonts w:ascii="Open Sans" w:hAnsi="Open Sans" w:cs="Open Sans"/>
        </w:rPr>
        <w:t xml:space="preserve">ARC Training </w:t>
      </w:r>
      <w:r w:rsidR="00F5049F">
        <w:rPr>
          <w:rFonts w:ascii="Open Sans" w:hAnsi="Open Sans" w:cs="Open Sans"/>
        </w:rPr>
        <w:t>including an</w:t>
      </w:r>
      <w:r w:rsidR="00886EEA">
        <w:rPr>
          <w:rFonts w:ascii="Open Sans" w:hAnsi="Open Sans" w:cs="Open Sans"/>
        </w:rPr>
        <w:t>y</w:t>
      </w:r>
      <w:r w:rsidR="00F5049F">
        <w:rPr>
          <w:rFonts w:ascii="Open Sans" w:hAnsi="Open Sans" w:cs="Open Sans"/>
        </w:rPr>
        <w:t xml:space="preserve"> third parties providing training in conjunction with </w:t>
      </w:r>
      <w:r w:rsidR="00186C1A">
        <w:rPr>
          <w:rFonts w:ascii="Open Sans" w:hAnsi="Open Sans" w:cs="Open Sans"/>
        </w:rPr>
        <w:t xml:space="preserve">ARC Training </w:t>
      </w:r>
      <w:r w:rsidR="00F5049F">
        <w:rPr>
          <w:rFonts w:ascii="Open Sans" w:hAnsi="Open Sans" w:cs="Open Sans"/>
        </w:rPr>
        <w:t>with regard to the execution of disciplinary procedures.</w:t>
      </w:r>
    </w:p>
    <w:p w:rsidR="007C5AD4" w:rsidRPr="006B7BF5" w:rsidRDefault="007C5AD4" w:rsidP="006B7BF5">
      <w:pPr>
        <w:rPr>
          <w:rFonts w:ascii="Open Sans" w:hAnsi="Open Sans" w:cs="Open Sans"/>
          <w:b/>
          <w:sz w:val="24"/>
        </w:rPr>
      </w:pPr>
      <w:r w:rsidRPr="006B7BF5">
        <w:rPr>
          <w:rFonts w:ascii="Open Sans" w:hAnsi="Open Sans" w:cs="Open Sans"/>
          <w:b/>
          <w:sz w:val="24"/>
        </w:rPr>
        <w:t>Definitions</w:t>
      </w:r>
    </w:p>
    <w:p w:rsidR="006B7BF5" w:rsidRDefault="00186C1A" w:rsidP="007C5AD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</w:t>
      </w:r>
      <w:r w:rsidR="00886EEA">
        <w:rPr>
          <w:rFonts w:ascii="Open Sans" w:hAnsi="Open Sans" w:cs="Open Sans"/>
        </w:rPr>
        <w:t>defines unacceptable behaviours under the following headings:</w:t>
      </w:r>
    </w:p>
    <w:p w:rsidR="006B7BF5" w:rsidRDefault="00886EEA" w:rsidP="007C5AD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6B7BF5" w:rsidTr="00365540">
        <w:tc>
          <w:tcPr>
            <w:tcW w:w="3103" w:type="dxa"/>
          </w:tcPr>
          <w:p w:rsidR="006B7BF5" w:rsidRPr="006B7BF5" w:rsidRDefault="006B7BF5" w:rsidP="006B7BF5">
            <w:pPr>
              <w:pStyle w:val="ARCHeading4"/>
              <w:rPr>
                <w:color w:val="000000" w:themeColor="text1"/>
              </w:rPr>
            </w:pPr>
            <w:r w:rsidRPr="006B7BF5">
              <w:rPr>
                <w:color w:val="000000" w:themeColor="text1"/>
              </w:rPr>
              <w:t>General Misconduct</w:t>
            </w:r>
          </w:p>
          <w:p w:rsidR="006B7BF5" w:rsidRPr="00B05446" w:rsidRDefault="006B7BF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93" w:type="dxa"/>
          </w:tcPr>
          <w:p w:rsidR="006B7BF5" w:rsidRPr="00EA040F" w:rsidRDefault="006B7BF5" w:rsidP="006B7BF5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A040F">
              <w:rPr>
                <w:rFonts w:ascii="Open Sans" w:hAnsi="Open Sans" w:cs="Open Sans"/>
              </w:rPr>
              <w:t>Disrupts the learning of others</w:t>
            </w:r>
          </w:p>
          <w:p w:rsidR="006B7BF5" w:rsidRPr="00EA040F" w:rsidRDefault="006B7BF5" w:rsidP="006B7BF5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A040F">
              <w:rPr>
                <w:rFonts w:ascii="Open Sans" w:hAnsi="Open Sans" w:cs="Open Sans"/>
              </w:rPr>
              <w:t>Prevents staff members from performing their duties</w:t>
            </w:r>
          </w:p>
          <w:p w:rsidR="006B7BF5" w:rsidRPr="00EA040F" w:rsidRDefault="006B7BF5" w:rsidP="006B7BF5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A040F">
              <w:rPr>
                <w:rFonts w:ascii="Open Sans" w:hAnsi="Open Sans" w:cs="Open Sans"/>
              </w:rPr>
              <w:t>Endangers the health and safety of staff,</w:t>
            </w:r>
            <w:r w:rsidR="009E7CA2">
              <w:rPr>
                <w:rFonts w:ascii="Open Sans" w:hAnsi="Open Sans" w:cs="Open Sans"/>
              </w:rPr>
              <w:t xml:space="preserve"> </w:t>
            </w:r>
            <w:r w:rsidR="00186C1A">
              <w:rPr>
                <w:rFonts w:ascii="Open Sans" w:hAnsi="Open Sans" w:cs="Open Sans"/>
              </w:rPr>
              <w:t>students</w:t>
            </w:r>
            <w:r w:rsidRPr="00EA040F">
              <w:rPr>
                <w:rFonts w:ascii="Open Sans" w:hAnsi="Open Sans" w:cs="Open Sans"/>
              </w:rPr>
              <w:t xml:space="preserve"> and others</w:t>
            </w:r>
          </w:p>
          <w:p w:rsidR="006B7BF5" w:rsidRPr="00B05446" w:rsidRDefault="006B7BF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6B7BF5" w:rsidTr="00365540">
        <w:tc>
          <w:tcPr>
            <w:tcW w:w="3103" w:type="dxa"/>
          </w:tcPr>
          <w:p w:rsidR="006B7BF5" w:rsidRPr="006B7BF5" w:rsidRDefault="006B7BF5" w:rsidP="006B7BF5">
            <w:pPr>
              <w:pStyle w:val="ARCHeading4"/>
              <w:rPr>
                <w:color w:val="000000" w:themeColor="text1"/>
              </w:rPr>
            </w:pPr>
            <w:r w:rsidRPr="006B7BF5">
              <w:rPr>
                <w:color w:val="000000" w:themeColor="text1"/>
              </w:rPr>
              <w:t>Other Misconduct</w:t>
            </w:r>
          </w:p>
          <w:p w:rsidR="006B7BF5" w:rsidRPr="00B05446" w:rsidRDefault="006B7BF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93" w:type="dxa"/>
          </w:tcPr>
          <w:p w:rsidR="006B7BF5" w:rsidRPr="00EA040F" w:rsidRDefault="006B7BF5" w:rsidP="006B7BF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EA040F">
              <w:rPr>
                <w:rFonts w:ascii="Open Sans" w:hAnsi="Open Sans" w:cs="Open Sans"/>
              </w:rPr>
              <w:t>Failure to attend scheduled assessments.</w:t>
            </w:r>
          </w:p>
          <w:p w:rsidR="006B7BF5" w:rsidRPr="00EA040F" w:rsidRDefault="006B7BF5" w:rsidP="006B7BF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EA040F">
              <w:rPr>
                <w:rFonts w:ascii="Open Sans" w:hAnsi="Open Sans" w:cs="Open Sans"/>
              </w:rPr>
              <w:t>Failure to pay fees</w:t>
            </w:r>
          </w:p>
          <w:p w:rsidR="006B7BF5" w:rsidRPr="00EA040F" w:rsidRDefault="006B7BF5" w:rsidP="006B7BF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EA040F">
              <w:rPr>
                <w:rFonts w:ascii="Open Sans" w:hAnsi="Open Sans" w:cs="Open Sans"/>
              </w:rPr>
              <w:t xml:space="preserve">Plagiarism </w:t>
            </w:r>
          </w:p>
          <w:p w:rsidR="006B7BF5" w:rsidRDefault="006B7BF5" w:rsidP="006B7BF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Falsifying assessment documents</w:t>
            </w:r>
          </w:p>
          <w:p w:rsidR="006B7BF5" w:rsidRPr="00B05446" w:rsidRDefault="006B7BF5" w:rsidP="00365540">
            <w:pPr>
              <w:rPr>
                <w:rFonts w:ascii="Open Sans" w:hAnsi="Open Sans" w:cs="Open Sans"/>
              </w:rPr>
            </w:pPr>
          </w:p>
        </w:tc>
      </w:tr>
    </w:tbl>
    <w:p w:rsidR="007C5AD4" w:rsidRPr="006B7BF5" w:rsidRDefault="007C5AD4" w:rsidP="006B7BF5">
      <w:pPr>
        <w:rPr>
          <w:rFonts w:ascii="Open Sans" w:hAnsi="Open Sans" w:cs="Open Sans"/>
          <w:b/>
        </w:rPr>
      </w:pPr>
      <w:r w:rsidRPr="006B7BF5">
        <w:rPr>
          <w:rFonts w:ascii="Open Sans" w:hAnsi="Open Sans" w:cs="Open Sans"/>
          <w:b/>
          <w:sz w:val="24"/>
        </w:rPr>
        <w:t>Aim</w:t>
      </w:r>
    </w:p>
    <w:p w:rsidR="00186C1A" w:rsidRDefault="007C5AD4" w:rsidP="00186C1A">
      <w:pPr>
        <w:rPr>
          <w:rFonts w:ascii="Open Sans" w:hAnsi="Open Sans" w:cs="Open Sans"/>
        </w:rPr>
      </w:pPr>
      <w:r w:rsidRPr="00F86551">
        <w:rPr>
          <w:rFonts w:ascii="Open Sans" w:hAnsi="Open Sans" w:cs="Open Sans"/>
        </w:rPr>
        <w:t xml:space="preserve">To ensure </w:t>
      </w:r>
      <w:r w:rsidR="00886EEA">
        <w:rPr>
          <w:rFonts w:ascii="Open Sans" w:hAnsi="Open Sans" w:cs="Open Sans"/>
        </w:rPr>
        <w:t xml:space="preserve">standards of behaviour expected </w:t>
      </w:r>
      <w:r w:rsidR="00164622">
        <w:rPr>
          <w:rFonts w:ascii="Open Sans" w:hAnsi="Open Sans" w:cs="Open Sans"/>
        </w:rPr>
        <w:t xml:space="preserve">meets the </w:t>
      </w:r>
      <w:r w:rsidR="008C601F">
        <w:rPr>
          <w:rFonts w:ascii="Open Sans" w:hAnsi="Open Sans" w:cs="Open Sans"/>
        </w:rPr>
        <w:t>Standards for National Vet Regulator (NVR</w:t>
      </w:r>
      <w:r w:rsidR="00164622">
        <w:rPr>
          <w:rFonts w:ascii="Open Sans" w:hAnsi="Open Sans" w:cs="Open Sans"/>
        </w:rPr>
        <w:t xml:space="preserve">), </w:t>
      </w:r>
      <w:r w:rsidR="00186C1A">
        <w:rPr>
          <w:rFonts w:ascii="Open Sans" w:hAnsi="Open Sans" w:cs="Open Sans"/>
          <w:szCs w:val="24"/>
        </w:rPr>
        <w:t>Standards for Registered Training Organisations (RTOs) 2015</w:t>
      </w:r>
      <w:r w:rsidR="00186C1A">
        <w:rPr>
          <w:rFonts w:ascii="Open Sans" w:hAnsi="Open Sans" w:cs="Open Sans"/>
        </w:rPr>
        <w:t xml:space="preserve">, </w:t>
      </w:r>
      <w:r w:rsidR="00186C1A">
        <w:rPr>
          <w:rFonts w:ascii="Open Sans" w:hAnsi="Open Sans" w:cs="Open Sans"/>
          <w:szCs w:val="24"/>
        </w:rPr>
        <w:t xml:space="preserve">State and Commonwealth </w:t>
      </w:r>
      <w:r w:rsidR="00186C1A">
        <w:rPr>
          <w:rFonts w:ascii="Open Sans" w:hAnsi="Open Sans" w:cs="Open Sans"/>
        </w:rPr>
        <w:t xml:space="preserve">funding requirements and all other applicable legislation.  </w:t>
      </w:r>
    </w:p>
    <w:p w:rsidR="00662985" w:rsidRDefault="00662985">
      <w:pPr>
        <w:rPr>
          <w:rFonts w:ascii="Open Sans" w:hAnsi="Open Sans"/>
          <w:sz w:val="36"/>
        </w:rPr>
      </w:pPr>
      <w:r>
        <w:rPr>
          <w:sz w:val="36"/>
        </w:rPr>
        <w:br w:type="page"/>
      </w:r>
    </w:p>
    <w:p w:rsidR="00B72CEF" w:rsidRDefault="00B72CEF" w:rsidP="007C5AD4">
      <w:pPr>
        <w:pStyle w:val="ARCHeading1"/>
        <w:rPr>
          <w:sz w:val="36"/>
        </w:rPr>
      </w:pPr>
      <w:r>
        <w:rPr>
          <w:sz w:val="36"/>
        </w:rPr>
        <w:lastRenderedPageBreak/>
        <w:t>Policy</w:t>
      </w:r>
    </w:p>
    <w:p w:rsidR="00B72CEF" w:rsidRPr="00B72CEF" w:rsidRDefault="00186C1A" w:rsidP="007C5AD4">
      <w:pPr>
        <w:pStyle w:val="ARCHeading1"/>
        <w:rPr>
          <w:sz w:val="22"/>
        </w:rPr>
      </w:pPr>
      <w:r>
        <w:rPr>
          <w:sz w:val="22"/>
        </w:rPr>
        <w:t xml:space="preserve">ARC Training </w:t>
      </w:r>
      <w:r w:rsidR="00B72CEF">
        <w:rPr>
          <w:sz w:val="22"/>
        </w:rPr>
        <w:t>endeavours to maintain an effective learning environment and manage any issues relating to the behaviour of</w:t>
      </w:r>
      <w:r>
        <w:rPr>
          <w:sz w:val="22"/>
        </w:rPr>
        <w:t xml:space="preserve"> students</w:t>
      </w:r>
      <w:r w:rsidR="00B72CEF">
        <w:rPr>
          <w:sz w:val="22"/>
        </w:rPr>
        <w:t xml:space="preserve"> which arise in a fair and equitable way. All matters involving the misconduct of</w:t>
      </w:r>
      <w:r>
        <w:rPr>
          <w:sz w:val="22"/>
        </w:rPr>
        <w:t xml:space="preserve"> students</w:t>
      </w:r>
      <w:r w:rsidR="00B72CEF">
        <w:rPr>
          <w:sz w:val="22"/>
        </w:rPr>
        <w:t xml:space="preserve"> will be thoroughly investigate</w:t>
      </w:r>
      <w:r w:rsidR="00E833CD">
        <w:rPr>
          <w:sz w:val="22"/>
        </w:rPr>
        <w:t>d</w:t>
      </w:r>
      <w:r w:rsidR="00B72CEF">
        <w:rPr>
          <w:sz w:val="22"/>
        </w:rPr>
        <w:t xml:space="preserve"> and every effort made to resolve problems with minimal disruption to learning.</w:t>
      </w:r>
    </w:p>
    <w:p w:rsidR="003D4692" w:rsidRPr="00951D89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D05181" w:rsidRDefault="008C601F" w:rsidP="00D05181">
      <w:pPr>
        <w:pStyle w:val="ARCBodyText"/>
        <w:numPr>
          <w:ilvl w:val="0"/>
          <w:numId w:val="13"/>
        </w:numPr>
      </w:pPr>
      <w:r w:rsidRPr="00B344CB">
        <w:t>ARC Training</w:t>
      </w:r>
      <w:r w:rsidR="00D05181">
        <w:t>’</w:t>
      </w:r>
      <w:r w:rsidR="00164622">
        <w:t xml:space="preserve">s appointed representative will meet with the </w:t>
      </w:r>
      <w:r w:rsidR="007612BF">
        <w:t>student</w:t>
      </w:r>
      <w:r w:rsidR="00164622">
        <w:t xml:space="preserve"> to discuss any behaviour that is deemed as unacceptable</w:t>
      </w:r>
      <w:r w:rsidRPr="00B344CB">
        <w:t>.</w:t>
      </w:r>
      <w:r w:rsidR="00164622">
        <w:t xml:space="preserve"> At this time the responsibilities of the </w:t>
      </w:r>
      <w:r w:rsidR="007612BF">
        <w:t>student</w:t>
      </w:r>
      <w:r w:rsidR="00164622">
        <w:t xml:space="preserve"> to act within acceptable guidelines and impacts on themselves and others will be clarified. The </w:t>
      </w:r>
      <w:r w:rsidR="007612BF">
        <w:t>student</w:t>
      </w:r>
      <w:r w:rsidR="00164622">
        <w:t xml:space="preserve"> will be informed </w:t>
      </w:r>
      <w:r w:rsidR="00D05181">
        <w:t xml:space="preserve">that </w:t>
      </w:r>
      <w:r w:rsidR="00164622">
        <w:t>they may have a support person in attendance at this meeting.</w:t>
      </w:r>
      <w:r w:rsidR="005E491A">
        <w:t xml:space="preserve"> </w:t>
      </w:r>
    </w:p>
    <w:p w:rsidR="00EA040F" w:rsidRDefault="00E833CD" w:rsidP="00D05181">
      <w:pPr>
        <w:pStyle w:val="ARCBodyText"/>
        <w:numPr>
          <w:ilvl w:val="0"/>
          <w:numId w:val="13"/>
        </w:numPr>
      </w:pPr>
      <w:r>
        <w:t>Should a f</w:t>
      </w:r>
      <w:r w:rsidR="005E491A">
        <w:t>ormal warning</w:t>
      </w:r>
      <w:r>
        <w:t xml:space="preserve"> be necessary</w:t>
      </w:r>
      <w:r w:rsidR="005E491A">
        <w:t>, matters</w:t>
      </w:r>
      <w:r>
        <w:t xml:space="preserve"> will be</w:t>
      </w:r>
      <w:r w:rsidR="005E491A">
        <w:t xml:space="preserve"> discussed and actions to be taken will be provided in </w:t>
      </w:r>
      <w:r w:rsidR="008D03A7">
        <w:t>a written statement</w:t>
      </w:r>
      <w:r w:rsidR="005E491A">
        <w:t xml:space="preserve"> to the </w:t>
      </w:r>
      <w:r w:rsidR="007612BF">
        <w:t>student</w:t>
      </w:r>
      <w:r w:rsidR="005E491A">
        <w:t xml:space="preserve">, and will form part of their </w:t>
      </w:r>
      <w:r w:rsidR="007612BF">
        <w:t>student</w:t>
      </w:r>
      <w:r w:rsidR="005E491A">
        <w:t xml:space="preserve"> record.</w:t>
      </w:r>
    </w:p>
    <w:p w:rsidR="00EA040F" w:rsidRDefault="00AF55E6" w:rsidP="00662985">
      <w:pPr>
        <w:pStyle w:val="ARCBodyText"/>
        <w:numPr>
          <w:ilvl w:val="0"/>
          <w:numId w:val="13"/>
        </w:numPr>
      </w:pPr>
      <w:r>
        <w:t xml:space="preserve">The </w:t>
      </w:r>
      <w:r w:rsidR="007612BF">
        <w:t>student</w:t>
      </w:r>
      <w:r>
        <w:t xml:space="preserve"> may be required t</w:t>
      </w:r>
      <w:r w:rsidR="004C09D8">
        <w:t>o adhere to a learning contract,</w:t>
      </w:r>
      <w:r>
        <w:t xml:space="preserve"> depending on the severity of the misconduct. </w:t>
      </w:r>
      <w:r w:rsidR="00EA040F">
        <w:t>Any further incidents of unacceptable behaviour will result in the cancellation of enrolment.</w:t>
      </w:r>
    </w:p>
    <w:p w:rsidR="00EA040F" w:rsidRDefault="00AF55E6" w:rsidP="00662985">
      <w:pPr>
        <w:pStyle w:val="ARCBodyText"/>
        <w:numPr>
          <w:ilvl w:val="0"/>
          <w:numId w:val="13"/>
        </w:numPr>
      </w:pPr>
      <w:r>
        <w:t xml:space="preserve">In cases of serious misconduct the </w:t>
      </w:r>
      <w:r w:rsidR="007612BF">
        <w:t>student</w:t>
      </w:r>
      <w:r>
        <w:t xml:space="preserve"> may be suspended immediately pending further investigation. In the case of </w:t>
      </w:r>
      <w:r w:rsidR="00E833CD">
        <w:t>a</w:t>
      </w:r>
      <w:r>
        <w:t xml:space="preserve"> breach of any State or Commonwealth laws the matter will be referred immediately to the police or </w:t>
      </w:r>
      <w:r w:rsidR="005E491A">
        <w:t>appropriate</w:t>
      </w:r>
      <w:r>
        <w:t xml:space="preserve"> authority.</w:t>
      </w:r>
    </w:p>
    <w:p w:rsidR="00EA040F" w:rsidRDefault="005E491A" w:rsidP="00662985">
      <w:pPr>
        <w:pStyle w:val="ARCBodyText"/>
        <w:numPr>
          <w:ilvl w:val="0"/>
          <w:numId w:val="13"/>
        </w:numPr>
      </w:pPr>
      <w:r>
        <w:t>All matters which result in suspension will be advised</w:t>
      </w:r>
      <w:r w:rsidR="008D03A7">
        <w:t xml:space="preserve"> in writing to the</w:t>
      </w:r>
      <w:r w:rsidR="00186C1A">
        <w:t xml:space="preserve"> students</w:t>
      </w:r>
      <w:r w:rsidR="008D03A7">
        <w:t xml:space="preserve"> and there will be a period of 21 </w:t>
      </w:r>
      <w:r w:rsidR="007612BF">
        <w:t xml:space="preserve">calendar </w:t>
      </w:r>
      <w:r w:rsidR="008D03A7">
        <w:t xml:space="preserve">days for a </w:t>
      </w:r>
      <w:r w:rsidR="007612BF">
        <w:t>student</w:t>
      </w:r>
      <w:r w:rsidR="008D03A7">
        <w:t xml:space="preserve"> to respond regarding the matter of unacceptable behaviour. </w:t>
      </w:r>
    </w:p>
    <w:p w:rsidR="008D03A7" w:rsidRDefault="008D03A7" w:rsidP="00B344CB">
      <w:pPr>
        <w:pStyle w:val="ARCBodyText"/>
        <w:numPr>
          <w:ilvl w:val="0"/>
          <w:numId w:val="13"/>
        </w:numPr>
      </w:pPr>
      <w:r>
        <w:t xml:space="preserve">Decisions relating to the matter of the reported unacceptable behaviour will be provided to the </w:t>
      </w:r>
      <w:r w:rsidR="007612BF">
        <w:t>student</w:t>
      </w:r>
      <w:r>
        <w:t xml:space="preserve"> in writing and may include:</w:t>
      </w:r>
    </w:p>
    <w:p w:rsidR="008D03A7" w:rsidRDefault="008D03A7" w:rsidP="007241E5">
      <w:pPr>
        <w:pStyle w:val="ARCBodyText"/>
        <w:numPr>
          <w:ilvl w:val="0"/>
          <w:numId w:val="23"/>
        </w:numPr>
      </w:pPr>
      <w:r>
        <w:t>Formal warning, and agreement to a learning contract</w:t>
      </w:r>
    </w:p>
    <w:p w:rsidR="008D03A7" w:rsidRDefault="008D03A7" w:rsidP="007241E5">
      <w:pPr>
        <w:pStyle w:val="ARCBodyText"/>
        <w:numPr>
          <w:ilvl w:val="0"/>
          <w:numId w:val="23"/>
        </w:numPr>
      </w:pPr>
      <w:r>
        <w:t>Suspension pending investigation</w:t>
      </w:r>
    </w:p>
    <w:p w:rsidR="00EA040F" w:rsidRDefault="008D03A7" w:rsidP="00662985">
      <w:pPr>
        <w:pStyle w:val="ARCBodyText"/>
        <w:numPr>
          <w:ilvl w:val="0"/>
          <w:numId w:val="23"/>
        </w:numPr>
      </w:pPr>
      <w:r>
        <w:t xml:space="preserve">Cancellation of </w:t>
      </w:r>
      <w:r w:rsidR="00EA040F">
        <w:t>enrolment</w:t>
      </w:r>
    </w:p>
    <w:p w:rsidR="00EA040F" w:rsidRDefault="00EA040F" w:rsidP="00EA040F">
      <w:pPr>
        <w:pStyle w:val="ARCBodyText"/>
        <w:numPr>
          <w:ilvl w:val="0"/>
          <w:numId w:val="13"/>
        </w:numPr>
      </w:pPr>
      <w:r>
        <w:t xml:space="preserve">Fees </w:t>
      </w:r>
      <w:r w:rsidR="00E833CD">
        <w:t>may</w:t>
      </w:r>
      <w:r>
        <w:t xml:space="preserve"> not be refunded where the matter results in the cancellation of the enrolment.</w:t>
      </w:r>
    </w:p>
    <w:p w:rsidR="00EA040F" w:rsidRDefault="00EA040F" w:rsidP="00EA040F">
      <w:pPr>
        <w:pStyle w:val="ARCBodyText"/>
      </w:pPr>
    </w:p>
    <w:p w:rsidR="00662985" w:rsidRDefault="00662985">
      <w:pPr>
        <w:rPr>
          <w:rFonts w:ascii="Open Sans" w:hAnsi="Open Sans"/>
          <w:color w:val="000000" w:themeColor="text1"/>
        </w:rPr>
      </w:pPr>
      <w:r>
        <w:br w:type="page"/>
      </w:r>
      <w:bookmarkStart w:id="0" w:name="_GoBack"/>
      <w:bookmarkEnd w:id="0"/>
    </w:p>
    <w:p w:rsidR="00186C1A" w:rsidRPr="00C36A66" w:rsidRDefault="00186C1A" w:rsidP="00186C1A">
      <w:pPr>
        <w:pStyle w:val="ARCBodyText"/>
        <w:rPr>
          <w:sz w:val="28"/>
          <w:szCs w:val="28"/>
        </w:rPr>
      </w:pPr>
      <w:r w:rsidRPr="003859D1">
        <w:rPr>
          <w:sz w:val="28"/>
        </w:rPr>
        <w:lastRenderedPageBreak/>
        <w:t xml:space="preserve">Requirements of </w:t>
      </w:r>
      <w:r w:rsidRPr="00C97BC2">
        <w:rPr>
          <w:rFonts w:cs="Open Sans"/>
          <w:sz w:val="28"/>
          <w:szCs w:val="28"/>
        </w:rPr>
        <w:t>Standards for National VET Regulator (NVR) RTOs 2012</w:t>
      </w:r>
      <w:r>
        <w:rPr>
          <w:sz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186C1A" w:rsidRDefault="00186C1A" w:rsidP="00186C1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  <w:szCs w:val="24"/>
        </w:rPr>
        <w:t xml:space="preserve">State and Commonwealth </w:t>
      </w:r>
      <w:r>
        <w:rPr>
          <w:rFonts w:ascii="Open Sans" w:hAnsi="Open Sans" w:cs="Open Sans"/>
        </w:rPr>
        <w:t xml:space="preserve">funding requirements and all other applicable legislation.  </w:t>
      </w:r>
    </w:p>
    <w:p w:rsidR="00186C1A" w:rsidRDefault="00186C1A" w:rsidP="003D4692">
      <w:pPr>
        <w:rPr>
          <w:rFonts w:ascii="Open Sans" w:hAnsi="Open Sans" w:cs="Open Sans"/>
        </w:rPr>
      </w:pPr>
    </w:p>
    <w:p w:rsidR="003D4692" w:rsidRDefault="00CE174C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includes </w:t>
      </w:r>
      <w:r w:rsidR="008A36E2">
        <w:rPr>
          <w:rFonts w:ascii="Open Sans" w:hAnsi="Open Sans" w:cs="Open Sans"/>
        </w:rPr>
        <w:t xml:space="preserve">adherence to </w:t>
      </w:r>
      <w:r>
        <w:rPr>
          <w:rFonts w:ascii="Open Sans" w:hAnsi="Open Sans" w:cs="Open Sans"/>
        </w:rPr>
        <w:t>the following legislation</w:t>
      </w:r>
      <w:r w:rsidR="007241E5">
        <w:rPr>
          <w:rFonts w:ascii="Open Sans" w:hAnsi="Open Sans" w:cs="Open Sans"/>
        </w:rPr>
        <w:t>:</w:t>
      </w:r>
    </w:p>
    <w:p w:rsidR="00512EDB" w:rsidRDefault="00CE174C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NSW Anti-Discrimination </w:t>
      </w:r>
      <w:r w:rsidR="007241E5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>ct 1977</w:t>
      </w:r>
      <w:r>
        <w:rPr>
          <w:rFonts w:ascii="Open Sans" w:hAnsi="Open Sans" w:cs="Open Sans"/>
        </w:rPr>
        <w:tab/>
      </w:r>
    </w:p>
    <w:p w:rsidR="00512EDB" w:rsidRDefault="00512EDB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QLD Anti-Discrimination Act 1991</w:t>
      </w:r>
    </w:p>
    <w:p w:rsidR="00CE174C" w:rsidRDefault="00512EDB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VIC Equal Opportunity Act 2010</w:t>
      </w:r>
      <w:r w:rsidR="00CE174C">
        <w:rPr>
          <w:rFonts w:ascii="Open Sans" w:hAnsi="Open Sans" w:cs="Open Sans"/>
        </w:rPr>
        <w:tab/>
      </w:r>
    </w:p>
    <w:p w:rsidR="00CE174C" w:rsidRDefault="00CE174C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Sex Discrimination </w:t>
      </w:r>
      <w:r w:rsidR="007241E5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>ct 1984</w:t>
      </w:r>
    </w:p>
    <w:p w:rsidR="007241E5" w:rsidRDefault="00CE174C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Age Discrimination</w:t>
      </w:r>
      <w:r w:rsidR="007241E5">
        <w:rPr>
          <w:rFonts w:ascii="Open Sans" w:hAnsi="Open Sans" w:cs="Open Sans"/>
        </w:rPr>
        <w:t xml:space="preserve"> Act 2004</w:t>
      </w:r>
    </w:p>
    <w:p w:rsidR="00CE174C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Racial Discrimination Act 1975</w:t>
      </w:r>
      <w:r w:rsidR="00CE174C">
        <w:rPr>
          <w:rFonts w:ascii="Open Sans" w:hAnsi="Open Sans" w:cs="Open Sans"/>
        </w:rPr>
        <w:t xml:space="preserve"> </w:t>
      </w:r>
    </w:p>
    <w:p w:rsidR="007241E5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Disability Discrimination Act 1992</w:t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323911" w:rsidRPr="00323911" w:rsidRDefault="00323911" w:rsidP="00323911">
      <w:r>
        <w:tab/>
      </w:r>
      <w:r>
        <w:tab/>
      </w:r>
    </w:p>
    <w:sectPr w:rsidR="00323911" w:rsidRPr="00323911" w:rsidSect="007C5AD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11" w:rsidRDefault="00323911" w:rsidP="00323911">
      <w:pPr>
        <w:spacing w:after="0" w:line="240" w:lineRule="auto"/>
      </w:pPr>
      <w:r>
        <w:separator/>
      </w:r>
    </w:p>
  </w:endnote>
  <w:end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FF02CE" w:rsidRDefault="007612BF" w:rsidP="00662985">
    <w:pPr>
      <w:pStyle w:val="Footer"/>
      <w:ind w:left="-567"/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>Student</w:t>
    </w:r>
    <w:r w:rsidR="00662985">
      <w:rPr>
        <w:rFonts w:ascii="Open Sans" w:hAnsi="Open Sans" w:cs="Open Sans"/>
        <w:sz w:val="16"/>
      </w:rPr>
      <w:t xml:space="preserve"> Behaviour and Disc</w:t>
    </w:r>
    <w:r w:rsidR="00E833CD">
      <w:rPr>
        <w:rFonts w:ascii="Open Sans" w:hAnsi="Open Sans" w:cs="Open Sans"/>
        <w:sz w:val="16"/>
      </w:rPr>
      <w:t>iplinary Policy and Procedure v1.1</w:t>
    </w:r>
    <w:r w:rsidR="00662985">
      <w:rPr>
        <w:rFonts w:ascii="Open Sans" w:hAnsi="Open Sans" w:cs="Open Sans"/>
        <w:sz w:val="16"/>
      </w:rPr>
      <w:t xml:space="preserve"> </w:t>
    </w:r>
    <w:r w:rsidR="00E833CD">
      <w:rPr>
        <w:rFonts w:ascii="Open Sans" w:hAnsi="Open Sans" w:cs="Open Sans"/>
        <w:sz w:val="16"/>
      </w:rPr>
      <w:t>October</w:t>
    </w:r>
    <w:r w:rsidR="00662985">
      <w:rPr>
        <w:rFonts w:ascii="Open Sans" w:hAnsi="Open Sans" w:cs="Open Sans"/>
        <w:sz w:val="16"/>
      </w:rPr>
      <w:t xml:space="preserve"> </w:t>
    </w:r>
    <w:r w:rsidR="00317E7D">
      <w:rPr>
        <w:rFonts w:ascii="Open Sans" w:hAnsi="Open Sans" w:cs="Open Sans"/>
        <w:sz w:val="16"/>
      </w:rPr>
      <w:t>201</w:t>
    </w:r>
    <w:r w:rsidR="00E833CD">
      <w:rPr>
        <w:rFonts w:ascii="Open Sans" w:hAnsi="Open Sans" w:cs="Open Sans"/>
        <w:sz w:val="16"/>
      </w:rPr>
      <w:t>5</w:t>
    </w:r>
    <w:r w:rsidR="00E833CD">
      <w:rPr>
        <w:rFonts w:ascii="Open Sans" w:hAnsi="Open Sans" w:cs="Open Sans"/>
        <w:sz w:val="16"/>
      </w:rPr>
      <w:tab/>
    </w:r>
    <w:r w:rsidR="003859D1" w:rsidRPr="00FF02CE">
      <w:rPr>
        <w:rFonts w:ascii="Open Sans" w:hAnsi="Open Sans" w:cs="Open Sans"/>
        <w:sz w:val="16"/>
      </w:rPr>
      <w:t xml:space="preserve">page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>
      <w:rPr>
        <w:rFonts w:ascii="Open Sans" w:hAnsi="Open Sans" w:cs="Open Sans"/>
        <w:noProof/>
        <w:sz w:val="16"/>
      </w:rPr>
      <w:t>2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Default="007612BF" w:rsidP="00457605">
    <w:pPr>
      <w:pStyle w:val="Footer"/>
    </w:pPr>
    <w:r>
      <w:rPr>
        <w:rFonts w:ascii="Open Sans" w:hAnsi="Open Sans" w:cs="Open Sans"/>
        <w:sz w:val="16"/>
      </w:rPr>
      <w:t>Student</w:t>
    </w:r>
    <w:r w:rsidR="006B7BF5">
      <w:rPr>
        <w:rFonts w:ascii="Open Sans" w:hAnsi="Open Sans" w:cs="Open Sans"/>
        <w:sz w:val="16"/>
      </w:rPr>
      <w:t xml:space="preserve"> Behaviour and Disciplinary Polic</w:t>
    </w:r>
    <w:r w:rsidR="007A1BF0">
      <w:rPr>
        <w:rFonts w:ascii="Open Sans" w:hAnsi="Open Sans" w:cs="Open Sans"/>
        <w:sz w:val="16"/>
      </w:rPr>
      <w:t>y and Procedure v1.1 October 2015</w:t>
    </w:r>
    <w:r w:rsidR="006B7BF5">
      <w:rPr>
        <w:rFonts w:ascii="Open Sans" w:hAnsi="Open Sans" w:cs="Open Sans"/>
        <w:sz w:val="16"/>
      </w:rPr>
      <w:tab/>
    </w:r>
    <w:r w:rsidR="00457605">
      <w:rPr>
        <w:rFonts w:ascii="Open Sans" w:hAnsi="Open Sans" w:cs="Open Sans"/>
        <w:sz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11" w:rsidRDefault="00323911" w:rsidP="00323911">
      <w:pPr>
        <w:spacing w:after="0" w:line="240" w:lineRule="auto"/>
      </w:pPr>
      <w:r>
        <w:separator/>
      </w:r>
    </w:p>
  </w:footnote>
  <w:foot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7A1BF0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0B3E375" wp14:editId="4029E02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0"/>
  </w:num>
  <w:num w:numId="5">
    <w:abstractNumId w:val="2"/>
  </w:num>
  <w:num w:numId="6">
    <w:abstractNumId w:val="18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21"/>
  </w:num>
  <w:num w:numId="13">
    <w:abstractNumId w:val="3"/>
  </w:num>
  <w:num w:numId="14">
    <w:abstractNumId w:val="17"/>
  </w:num>
  <w:num w:numId="15">
    <w:abstractNumId w:val="8"/>
  </w:num>
  <w:num w:numId="16">
    <w:abstractNumId w:val="20"/>
  </w:num>
  <w:num w:numId="17">
    <w:abstractNumId w:val="13"/>
  </w:num>
  <w:num w:numId="18">
    <w:abstractNumId w:val="9"/>
  </w:num>
  <w:num w:numId="19">
    <w:abstractNumId w:val="12"/>
  </w:num>
  <w:num w:numId="20">
    <w:abstractNumId w:val="11"/>
  </w:num>
  <w:num w:numId="21">
    <w:abstractNumId w:val="15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31E3D"/>
    <w:rsid w:val="000744E5"/>
    <w:rsid w:val="00074D57"/>
    <w:rsid w:val="000B605B"/>
    <w:rsid w:val="000F6F96"/>
    <w:rsid w:val="00164622"/>
    <w:rsid w:val="00171BDA"/>
    <w:rsid w:val="00186C1A"/>
    <w:rsid w:val="001B32E0"/>
    <w:rsid w:val="002109BD"/>
    <w:rsid w:val="00281D72"/>
    <w:rsid w:val="00317E7D"/>
    <w:rsid w:val="00323911"/>
    <w:rsid w:val="003859D1"/>
    <w:rsid w:val="003D4692"/>
    <w:rsid w:val="003F4FF6"/>
    <w:rsid w:val="00457605"/>
    <w:rsid w:val="004C09D8"/>
    <w:rsid w:val="00512EDB"/>
    <w:rsid w:val="005E31CE"/>
    <w:rsid w:val="005E491A"/>
    <w:rsid w:val="0062563D"/>
    <w:rsid w:val="0063132D"/>
    <w:rsid w:val="00647B31"/>
    <w:rsid w:val="00654A57"/>
    <w:rsid w:val="00662985"/>
    <w:rsid w:val="006B7BF5"/>
    <w:rsid w:val="007241E5"/>
    <w:rsid w:val="007612BF"/>
    <w:rsid w:val="007708C8"/>
    <w:rsid w:val="007A1BF0"/>
    <w:rsid w:val="007B16E0"/>
    <w:rsid w:val="007C5AD4"/>
    <w:rsid w:val="007E377C"/>
    <w:rsid w:val="00841C93"/>
    <w:rsid w:val="0087129B"/>
    <w:rsid w:val="00872F66"/>
    <w:rsid w:val="00886EEA"/>
    <w:rsid w:val="00894C63"/>
    <w:rsid w:val="008A36E2"/>
    <w:rsid w:val="008C601F"/>
    <w:rsid w:val="008C68D2"/>
    <w:rsid w:val="008D03A7"/>
    <w:rsid w:val="008E0018"/>
    <w:rsid w:val="008E3CF8"/>
    <w:rsid w:val="00920311"/>
    <w:rsid w:val="00923A22"/>
    <w:rsid w:val="00931372"/>
    <w:rsid w:val="0093781B"/>
    <w:rsid w:val="00951D89"/>
    <w:rsid w:val="00954AAE"/>
    <w:rsid w:val="009E7CA2"/>
    <w:rsid w:val="00A511B2"/>
    <w:rsid w:val="00AA2858"/>
    <w:rsid w:val="00AF55E6"/>
    <w:rsid w:val="00B10130"/>
    <w:rsid w:val="00B344CB"/>
    <w:rsid w:val="00B72CEF"/>
    <w:rsid w:val="00BA7E38"/>
    <w:rsid w:val="00BC4350"/>
    <w:rsid w:val="00C539EB"/>
    <w:rsid w:val="00CC2EEB"/>
    <w:rsid w:val="00CD07EB"/>
    <w:rsid w:val="00CD2F7F"/>
    <w:rsid w:val="00CE174C"/>
    <w:rsid w:val="00CF3E7D"/>
    <w:rsid w:val="00D05181"/>
    <w:rsid w:val="00D0791A"/>
    <w:rsid w:val="00D30A37"/>
    <w:rsid w:val="00D63A39"/>
    <w:rsid w:val="00DB726F"/>
    <w:rsid w:val="00DD725E"/>
    <w:rsid w:val="00E62298"/>
    <w:rsid w:val="00E833CD"/>
    <w:rsid w:val="00E933B5"/>
    <w:rsid w:val="00EA040F"/>
    <w:rsid w:val="00F13891"/>
    <w:rsid w:val="00F5049F"/>
    <w:rsid w:val="00F50D71"/>
    <w:rsid w:val="00FB0F6E"/>
    <w:rsid w:val="00FB5BBA"/>
    <w:rsid w:val="00FB6BA7"/>
    <w:rsid w:val="00FF02C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2</cp:revision>
  <cp:lastPrinted>2016-09-08T09:58:00Z</cp:lastPrinted>
  <dcterms:created xsi:type="dcterms:W3CDTF">2018-01-28T22:01:00Z</dcterms:created>
  <dcterms:modified xsi:type="dcterms:W3CDTF">2018-01-28T22:01:00Z</dcterms:modified>
</cp:coreProperties>
</file>